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3E41" w:rsidRPr="00E00837" w:rsidRDefault="00A03E00" w:rsidP="00450FA5">
      <w:pPr>
        <w:spacing w:after="0" w:line="240" w:lineRule="auto"/>
        <w:jc w:val="center"/>
        <w:rPr>
          <w:b/>
          <w:sz w:val="28"/>
        </w:rPr>
      </w:pPr>
      <w:r>
        <w:rPr>
          <w:b/>
          <w:sz w:val="28"/>
        </w:rPr>
        <w:t>Third</w:t>
      </w:r>
      <w:r w:rsidR="00E00837" w:rsidRPr="00E00837">
        <w:rPr>
          <w:b/>
          <w:sz w:val="28"/>
        </w:rPr>
        <w:t xml:space="preserve"> Grade Correlations – Year </w:t>
      </w:r>
      <w:r w:rsidR="00E00837">
        <w:rPr>
          <w:b/>
          <w:sz w:val="28"/>
        </w:rPr>
        <w:t>at a</w:t>
      </w:r>
      <w:r w:rsidR="00E00837" w:rsidRPr="00E00837">
        <w:rPr>
          <w:b/>
          <w:sz w:val="28"/>
        </w:rPr>
        <w:t xml:space="preserve"> Glance</w:t>
      </w:r>
    </w:p>
    <w:tbl>
      <w:tblPr>
        <w:tblStyle w:val="TableGrid"/>
        <w:tblW w:w="5000" w:type="pct"/>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551"/>
        <w:gridCol w:w="1539"/>
        <w:gridCol w:w="2967"/>
        <w:gridCol w:w="3242"/>
        <w:gridCol w:w="6317"/>
      </w:tblGrid>
      <w:tr w:rsidR="0079077E" w:rsidTr="00450FA5">
        <w:tc>
          <w:tcPr>
            <w:tcW w:w="188" w:type="pct"/>
            <w:shd w:val="clear" w:color="auto" w:fill="D9D9D9" w:themeFill="background1" w:themeFillShade="D9"/>
          </w:tcPr>
          <w:p w:rsidR="0079077E" w:rsidRPr="0079077E" w:rsidRDefault="0079077E" w:rsidP="00450FA5">
            <w:pPr>
              <w:jc w:val="center"/>
              <w:rPr>
                <w:b/>
                <w:sz w:val="24"/>
              </w:rPr>
            </w:pPr>
          </w:p>
        </w:tc>
        <w:tc>
          <w:tcPr>
            <w:tcW w:w="526" w:type="pct"/>
            <w:shd w:val="clear" w:color="auto" w:fill="D9D9D9" w:themeFill="background1" w:themeFillShade="D9"/>
          </w:tcPr>
          <w:p w:rsidR="0079077E" w:rsidRPr="0079077E" w:rsidRDefault="0079077E" w:rsidP="00450FA5">
            <w:pPr>
              <w:jc w:val="center"/>
              <w:rPr>
                <w:b/>
                <w:sz w:val="24"/>
              </w:rPr>
            </w:pPr>
          </w:p>
        </w:tc>
        <w:tc>
          <w:tcPr>
            <w:tcW w:w="1015" w:type="pct"/>
            <w:shd w:val="clear" w:color="auto" w:fill="D9D9D9" w:themeFill="background1" w:themeFillShade="D9"/>
          </w:tcPr>
          <w:p w:rsidR="0079077E" w:rsidRPr="0079077E" w:rsidRDefault="0079077E" w:rsidP="00450FA5">
            <w:pPr>
              <w:jc w:val="center"/>
              <w:rPr>
                <w:b/>
                <w:sz w:val="24"/>
              </w:rPr>
            </w:pPr>
            <w:r w:rsidRPr="0079077E">
              <w:rPr>
                <w:b/>
                <w:sz w:val="24"/>
              </w:rPr>
              <w:t>Comprehension Toolkit Lessons</w:t>
            </w:r>
          </w:p>
        </w:tc>
        <w:tc>
          <w:tcPr>
            <w:tcW w:w="1109" w:type="pct"/>
            <w:shd w:val="clear" w:color="auto" w:fill="D9D9D9" w:themeFill="background1" w:themeFillShade="D9"/>
          </w:tcPr>
          <w:p w:rsidR="0079077E" w:rsidRPr="0079077E" w:rsidRDefault="0079077E" w:rsidP="00450FA5">
            <w:pPr>
              <w:jc w:val="center"/>
              <w:rPr>
                <w:b/>
                <w:sz w:val="24"/>
              </w:rPr>
            </w:pPr>
            <w:r w:rsidRPr="0079077E">
              <w:rPr>
                <w:b/>
                <w:sz w:val="24"/>
              </w:rPr>
              <w:t>Jan Richardson Strategies</w:t>
            </w:r>
          </w:p>
        </w:tc>
        <w:tc>
          <w:tcPr>
            <w:tcW w:w="2161" w:type="pct"/>
            <w:shd w:val="clear" w:color="auto" w:fill="D9D9D9" w:themeFill="background1" w:themeFillShade="D9"/>
          </w:tcPr>
          <w:p w:rsidR="0079077E" w:rsidRPr="0079077E" w:rsidRDefault="0079077E" w:rsidP="00450FA5">
            <w:pPr>
              <w:jc w:val="center"/>
              <w:rPr>
                <w:b/>
                <w:sz w:val="24"/>
              </w:rPr>
            </w:pPr>
            <w:r w:rsidRPr="0079077E">
              <w:rPr>
                <w:b/>
                <w:sz w:val="24"/>
              </w:rPr>
              <w:t>Writer’s Workshop Units of Study</w:t>
            </w:r>
          </w:p>
        </w:tc>
      </w:tr>
      <w:tr w:rsidR="0079077E" w:rsidTr="00450FA5">
        <w:trPr>
          <w:cantSplit/>
          <w:trHeight w:val="1134"/>
        </w:trPr>
        <w:tc>
          <w:tcPr>
            <w:tcW w:w="188" w:type="pct"/>
            <w:shd w:val="clear" w:color="auto" w:fill="D9D9D9" w:themeFill="background1" w:themeFillShade="D9"/>
            <w:textDirection w:val="btLr"/>
          </w:tcPr>
          <w:p w:rsidR="0079077E" w:rsidRPr="0079077E" w:rsidRDefault="0079077E" w:rsidP="00597318">
            <w:pPr>
              <w:ind w:left="113" w:right="113"/>
              <w:jc w:val="center"/>
              <w:rPr>
                <w:b/>
              </w:rPr>
            </w:pPr>
            <w:r w:rsidRPr="0079077E">
              <w:rPr>
                <w:b/>
              </w:rPr>
              <w:t>Quarter 1</w:t>
            </w:r>
          </w:p>
        </w:tc>
        <w:tc>
          <w:tcPr>
            <w:tcW w:w="526" w:type="pct"/>
            <w:shd w:val="clear" w:color="auto" w:fill="D9D9D9" w:themeFill="background1" w:themeFillShade="D9"/>
          </w:tcPr>
          <w:p w:rsidR="0079077E" w:rsidRPr="00597318" w:rsidRDefault="0079077E">
            <w:pPr>
              <w:rPr>
                <w:b/>
                <w:u w:val="single"/>
              </w:rPr>
            </w:pPr>
            <w:r w:rsidRPr="00597318">
              <w:rPr>
                <w:b/>
                <w:u w:val="single"/>
              </w:rPr>
              <w:t>Unit 1</w:t>
            </w:r>
          </w:p>
          <w:p w:rsidR="00505BFE" w:rsidRPr="0079077E" w:rsidRDefault="00803FE8">
            <w:pPr>
              <w:rPr>
                <w:b/>
              </w:rPr>
            </w:pPr>
            <w:r>
              <w:rPr>
                <w:b/>
              </w:rPr>
              <w:t>Stories Worth Telling Again and Again</w:t>
            </w:r>
          </w:p>
        </w:tc>
        <w:tc>
          <w:tcPr>
            <w:tcW w:w="1015" w:type="pct"/>
          </w:tcPr>
          <w:p w:rsidR="00450FA5" w:rsidRPr="00450FA5" w:rsidRDefault="00450FA5">
            <w:pPr>
              <w:rPr>
                <w:sz w:val="20"/>
                <w:szCs w:val="20"/>
              </w:rPr>
            </w:pPr>
            <w:r w:rsidRPr="00450FA5">
              <w:rPr>
                <w:sz w:val="20"/>
                <w:szCs w:val="20"/>
              </w:rPr>
              <w:t>Monitoring (3 Lessons)</w:t>
            </w:r>
          </w:p>
          <w:p w:rsidR="00450FA5" w:rsidRPr="00450FA5" w:rsidRDefault="00450FA5">
            <w:pPr>
              <w:rPr>
                <w:sz w:val="20"/>
                <w:szCs w:val="20"/>
              </w:rPr>
            </w:pPr>
          </w:p>
          <w:p w:rsidR="00450FA5" w:rsidRPr="00450FA5" w:rsidRDefault="00450FA5">
            <w:pPr>
              <w:rPr>
                <w:sz w:val="20"/>
                <w:szCs w:val="20"/>
              </w:rPr>
            </w:pPr>
            <w:r w:rsidRPr="00450FA5">
              <w:rPr>
                <w:sz w:val="20"/>
                <w:szCs w:val="20"/>
              </w:rPr>
              <w:t>Activate and Connect</w:t>
            </w:r>
          </w:p>
          <w:p w:rsidR="00450FA5" w:rsidRPr="00450FA5" w:rsidRDefault="002F1F63">
            <w:pPr>
              <w:rPr>
                <w:sz w:val="20"/>
                <w:szCs w:val="20"/>
              </w:rPr>
            </w:pPr>
            <w:r>
              <w:rPr>
                <w:sz w:val="20"/>
                <w:szCs w:val="20"/>
              </w:rPr>
              <w:t>(3</w:t>
            </w:r>
            <w:r w:rsidR="00450FA5" w:rsidRPr="00450FA5">
              <w:rPr>
                <w:sz w:val="20"/>
                <w:szCs w:val="20"/>
              </w:rPr>
              <w:t xml:space="preserve"> Lessons)</w:t>
            </w:r>
          </w:p>
        </w:tc>
        <w:tc>
          <w:tcPr>
            <w:tcW w:w="1109" w:type="pct"/>
          </w:tcPr>
          <w:p w:rsidR="00450FA5" w:rsidRDefault="00450FA5">
            <w:pPr>
              <w:rPr>
                <w:sz w:val="20"/>
                <w:szCs w:val="20"/>
              </w:rPr>
            </w:pPr>
            <w:r>
              <w:rPr>
                <w:sz w:val="20"/>
                <w:szCs w:val="20"/>
              </w:rPr>
              <w:t>Write Predictions (pg 205)</w:t>
            </w:r>
          </w:p>
          <w:p w:rsidR="00450FA5" w:rsidRDefault="00450FA5">
            <w:pPr>
              <w:rPr>
                <w:sz w:val="20"/>
                <w:szCs w:val="20"/>
              </w:rPr>
            </w:pPr>
            <w:r>
              <w:rPr>
                <w:sz w:val="20"/>
                <w:szCs w:val="20"/>
              </w:rPr>
              <w:t>Predict -Support-Confirm (pg 206)</w:t>
            </w:r>
          </w:p>
          <w:p w:rsidR="00450FA5" w:rsidRDefault="00450FA5">
            <w:pPr>
              <w:rPr>
                <w:sz w:val="20"/>
                <w:szCs w:val="20"/>
              </w:rPr>
            </w:pPr>
            <w:r>
              <w:rPr>
                <w:sz w:val="20"/>
                <w:szCs w:val="20"/>
              </w:rPr>
              <w:t xml:space="preserve">Make Connections in F and NF </w:t>
            </w:r>
          </w:p>
          <w:p w:rsidR="00450FA5" w:rsidRDefault="00450FA5">
            <w:pPr>
              <w:rPr>
                <w:sz w:val="20"/>
                <w:szCs w:val="20"/>
              </w:rPr>
            </w:pPr>
            <w:r>
              <w:rPr>
                <w:sz w:val="20"/>
                <w:szCs w:val="20"/>
              </w:rPr>
              <w:t>(pg 207 – 208)</w:t>
            </w:r>
          </w:p>
          <w:p w:rsidR="0079077E" w:rsidRPr="00450FA5" w:rsidRDefault="0079077E">
            <w:pPr>
              <w:rPr>
                <w:b/>
                <w:sz w:val="20"/>
                <w:szCs w:val="20"/>
              </w:rPr>
            </w:pPr>
            <w:r w:rsidRPr="00450FA5">
              <w:rPr>
                <w:b/>
                <w:sz w:val="20"/>
                <w:szCs w:val="20"/>
              </w:rPr>
              <w:t>Retell Strategies</w:t>
            </w:r>
            <w:r w:rsidR="00450FA5" w:rsidRPr="00450FA5">
              <w:rPr>
                <w:b/>
                <w:sz w:val="20"/>
                <w:szCs w:val="20"/>
              </w:rPr>
              <w:t>:</w:t>
            </w:r>
          </w:p>
          <w:p w:rsidR="00450FA5" w:rsidRDefault="00450FA5">
            <w:pPr>
              <w:rPr>
                <w:sz w:val="20"/>
                <w:szCs w:val="20"/>
              </w:rPr>
            </w:pPr>
            <w:r>
              <w:rPr>
                <w:sz w:val="20"/>
                <w:szCs w:val="20"/>
              </w:rPr>
              <w:t>STP (pg 160)</w:t>
            </w:r>
          </w:p>
          <w:p w:rsidR="00450FA5" w:rsidRDefault="00450FA5">
            <w:pPr>
              <w:rPr>
                <w:sz w:val="20"/>
                <w:szCs w:val="20"/>
              </w:rPr>
            </w:pPr>
            <w:r>
              <w:rPr>
                <w:sz w:val="20"/>
                <w:szCs w:val="20"/>
              </w:rPr>
              <w:t>B-M-E (pg 160)</w:t>
            </w:r>
          </w:p>
          <w:p w:rsidR="00450FA5" w:rsidRDefault="00450FA5">
            <w:pPr>
              <w:rPr>
                <w:sz w:val="20"/>
                <w:szCs w:val="20"/>
              </w:rPr>
            </w:pPr>
            <w:r>
              <w:rPr>
                <w:sz w:val="20"/>
                <w:szCs w:val="20"/>
              </w:rPr>
              <w:t xml:space="preserve">5 Finger Retell (pg 172) </w:t>
            </w:r>
          </w:p>
          <w:p w:rsidR="0079077E" w:rsidRDefault="00450FA5">
            <w:pPr>
              <w:rPr>
                <w:sz w:val="20"/>
                <w:szCs w:val="20"/>
              </w:rPr>
            </w:pPr>
            <w:r>
              <w:rPr>
                <w:sz w:val="20"/>
                <w:szCs w:val="20"/>
              </w:rPr>
              <w:t>Track Character Feelings (pg 161)</w:t>
            </w:r>
          </w:p>
          <w:p w:rsidR="00397F45" w:rsidRDefault="00252BD7">
            <w:pPr>
              <w:rPr>
                <w:sz w:val="20"/>
                <w:szCs w:val="20"/>
              </w:rPr>
            </w:pPr>
            <w:r>
              <w:rPr>
                <w:sz w:val="20"/>
                <w:szCs w:val="20"/>
              </w:rPr>
              <w:t>S-W-B-S (</w:t>
            </w:r>
            <w:proofErr w:type="spellStart"/>
            <w:r>
              <w:rPr>
                <w:sz w:val="20"/>
                <w:szCs w:val="20"/>
              </w:rPr>
              <w:t>pg</w:t>
            </w:r>
            <w:proofErr w:type="spellEnd"/>
            <w:r w:rsidR="00397F45">
              <w:rPr>
                <w:sz w:val="20"/>
                <w:szCs w:val="20"/>
              </w:rPr>
              <w:t xml:space="preserve"> 221)</w:t>
            </w:r>
          </w:p>
          <w:p w:rsidR="00252BD7" w:rsidRPr="00450FA5" w:rsidRDefault="00252BD7">
            <w:pPr>
              <w:rPr>
                <w:sz w:val="20"/>
                <w:szCs w:val="20"/>
              </w:rPr>
            </w:pPr>
            <w:r>
              <w:rPr>
                <w:sz w:val="20"/>
                <w:szCs w:val="20"/>
              </w:rPr>
              <w:t>Green Questions (</w:t>
            </w:r>
            <w:proofErr w:type="spellStart"/>
            <w:r>
              <w:rPr>
                <w:sz w:val="20"/>
                <w:szCs w:val="20"/>
              </w:rPr>
              <w:t>pg</w:t>
            </w:r>
            <w:proofErr w:type="spellEnd"/>
            <w:r>
              <w:rPr>
                <w:sz w:val="20"/>
                <w:szCs w:val="20"/>
              </w:rPr>
              <w:t xml:space="preserve"> 211)</w:t>
            </w:r>
          </w:p>
        </w:tc>
        <w:tc>
          <w:tcPr>
            <w:tcW w:w="2161" w:type="pct"/>
          </w:tcPr>
          <w:p w:rsidR="0079077E" w:rsidRPr="00450FA5" w:rsidRDefault="0079077E" w:rsidP="00E80A3C">
            <w:pPr>
              <w:rPr>
                <w:b/>
                <w:sz w:val="20"/>
                <w:szCs w:val="20"/>
              </w:rPr>
            </w:pPr>
            <w:r w:rsidRPr="00450FA5">
              <w:rPr>
                <w:b/>
                <w:sz w:val="20"/>
                <w:szCs w:val="20"/>
              </w:rPr>
              <w:t>Launching the Writer’s Workshop</w:t>
            </w:r>
            <w:r w:rsidR="007E7437" w:rsidRPr="00450FA5">
              <w:rPr>
                <w:b/>
                <w:sz w:val="20"/>
                <w:szCs w:val="20"/>
              </w:rPr>
              <w:t xml:space="preserve"> (</w:t>
            </w:r>
            <w:r w:rsidRPr="00450FA5">
              <w:rPr>
                <w:b/>
                <w:sz w:val="20"/>
                <w:szCs w:val="20"/>
              </w:rPr>
              <w:t>17 Sessions</w:t>
            </w:r>
            <w:r w:rsidR="007E7437" w:rsidRPr="00450FA5">
              <w:rPr>
                <w:b/>
                <w:sz w:val="20"/>
                <w:szCs w:val="20"/>
              </w:rPr>
              <w:t>)</w:t>
            </w:r>
          </w:p>
          <w:p w:rsidR="0079077E" w:rsidRPr="00450FA5" w:rsidRDefault="0079077E" w:rsidP="00E80A3C">
            <w:pPr>
              <w:rPr>
                <w:sz w:val="20"/>
                <w:szCs w:val="20"/>
              </w:rPr>
            </w:pPr>
            <w:r w:rsidRPr="00450FA5">
              <w:rPr>
                <w:sz w:val="20"/>
                <w:szCs w:val="20"/>
              </w:rPr>
              <w:t>Establishing procedures and routines for Writer’s Workshop</w:t>
            </w:r>
          </w:p>
          <w:p w:rsidR="0079077E" w:rsidRPr="00F10F3A" w:rsidRDefault="00F10F3A" w:rsidP="00E80A3C">
            <w:pPr>
              <w:rPr>
                <w:b/>
                <w:sz w:val="20"/>
                <w:szCs w:val="20"/>
              </w:rPr>
            </w:pPr>
            <w:r>
              <w:rPr>
                <w:b/>
                <w:sz w:val="20"/>
                <w:szCs w:val="20"/>
              </w:rPr>
              <w:t>Raising the Quality of Narrative Writing (14 Sessions)</w:t>
            </w:r>
          </w:p>
        </w:tc>
      </w:tr>
      <w:tr w:rsidR="0079077E" w:rsidTr="00450FA5">
        <w:tc>
          <w:tcPr>
            <w:tcW w:w="188" w:type="pct"/>
            <w:vMerge w:val="restart"/>
            <w:shd w:val="clear" w:color="auto" w:fill="D9D9D9" w:themeFill="background1" w:themeFillShade="D9"/>
            <w:textDirection w:val="btLr"/>
          </w:tcPr>
          <w:p w:rsidR="0079077E" w:rsidRPr="0079077E" w:rsidRDefault="0079077E" w:rsidP="00597318">
            <w:pPr>
              <w:ind w:left="113" w:right="113"/>
              <w:jc w:val="center"/>
              <w:rPr>
                <w:b/>
              </w:rPr>
            </w:pPr>
            <w:r w:rsidRPr="0079077E">
              <w:rPr>
                <w:b/>
              </w:rPr>
              <w:t>Quarter 2</w:t>
            </w:r>
          </w:p>
        </w:tc>
        <w:tc>
          <w:tcPr>
            <w:tcW w:w="526" w:type="pct"/>
            <w:shd w:val="clear" w:color="auto" w:fill="D9D9D9" w:themeFill="background1" w:themeFillShade="D9"/>
          </w:tcPr>
          <w:p w:rsidR="0079077E" w:rsidRPr="00597318" w:rsidRDefault="0079077E">
            <w:pPr>
              <w:rPr>
                <w:b/>
                <w:u w:val="single"/>
              </w:rPr>
            </w:pPr>
            <w:r w:rsidRPr="00597318">
              <w:rPr>
                <w:b/>
                <w:u w:val="single"/>
              </w:rPr>
              <w:t>Unit 2</w:t>
            </w:r>
          </w:p>
          <w:p w:rsidR="0079077E" w:rsidRPr="0079077E" w:rsidRDefault="00803FE8">
            <w:pPr>
              <w:rPr>
                <w:b/>
              </w:rPr>
            </w:pPr>
            <w:r>
              <w:rPr>
                <w:b/>
              </w:rPr>
              <w:t>Inspired by the Sea</w:t>
            </w:r>
          </w:p>
        </w:tc>
        <w:tc>
          <w:tcPr>
            <w:tcW w:w="1015" w:type="pct"/>
          </w:tcPr>
          <w:p w:rsidR="002F1F63" w:rsidRDefault="002F1F63" w:rsidP="002F1F63">
            <w:pPr>
              <w:rPr>
                <w:sz w:val="20"/>
                <w:szCs w:val="20"/>
              </w:rPr>
            </w:pPr>
            <w:r w:rsidRPr="00450FA5">
              <w:rPr>
                <w:sz w:val="20"/>
                <w:szCs w:val="20"/>
              </w:rPr>
              <w:t xml:space="preserve">Determining </w:t>
            </w:r>
            <w:r>
              <w:rPr>
                <w:sz w:val="20"/>
                <w:szCs w:val="20"/>
              </w:rPr>
              <w:t xml:space="preserve">Importance </w:t>
            </w:r>
            <w:r w:rsidR="00F3016B">
              <w:rPr>
                <w:sz w:val="20"/>
                <w:szCs w:val="20"/>
              </w:rPr>
              <w:t xml:space="preserve">            </w:t>
            </w:r>
            <w:r>
              <w:rPr>
                <w:sz w:val="20"/>
                <w:szCs w:val="20"/>
              </w:rPr>
              <w:t xml:space="preserve">(6 </w:t>
            </w:r>
            <w:r w:rsidRPr="00450FA5">
              <w:rPr>
                <w:sz w:val="20"/>
                <w:szCs w:val="20"/>
              </w:rPr>
              <w:t>Lessons)</w:t>
            </w:r>
          </w:p>
          <w:p w:rsidR="002F1F63" w:rsidRPr="00450FA5" w:rsidRDefault="002F1F63" w:rsidP="002F1F63">
            <w:pPr>
              <w:rPr>
                <w:sz w:val="20"/>
                <w:szCs w:val="20"/>
              </w:rPr>
            </w:pPr>
          </w:p>
        </w:tc>
        <w:tc>
          <w:tcPr>
            <w:tcW w:w="1109" w:type="pct"/>
          </w:tcPr>
          <w:p w:rsidR="00397F45" w:rsidRPr="00397F45" w:rsidRDefault="00397F45">
            <w:pPr>
              <w:rPr>
                <w:b/>
                <w:sz w:val="20"/>
                <w:szCs w:val="20"/>
              </w:rPr>
            </w:pPr>
            <w:r w:rsidRPr="00450FA5">
              <w:rPr>
                <w:b/>
                <w:sz w:val="20"/>
                <w:szCs w:val="20"/>
              </w:rPr>
              <w:t>In Fiction Literature:</w:t>
            </w:r>
          </w:p>
          <w:p w:rsidR="00397F45" w:rsidRDefault="00397F45">
            <w:pPr>
              <w:rPr>
                <w:sz w:val="20"/>
                <w:szCs w:val="20"/>
              </w:rPr>
            </w:pPr>
            <w:r>
              <w:rPr>
                <w:sz w:val="20"/>
                <w:szCs w:val="20"/>
              </w:rPr>
              <w:t>VIP Literal Level (</w:t>
            </w:r>
            <w:proofErr w:type="spellStart"/>
            <w:r>
              <w:rPr>
                <w:sz w:val="20"/>
                <w:szCs w:val="20"/>
              </w:rPr>
              <w:t>pg</w:t>
            </w:r>
            <w:proofErr w:type="spellEnd"/>
            <w:r>
              <w:rPr>
                <w:sz w:val="20"/>
                <w:szCs w:val="20"/>
              </w:rPr>
              <w:t xml:space="preserve"> 215)</w:t>
            </w:r>
          </w:p>
          <w:p w:rsidR="0079077E" w:rsidRDefault="00450FA5">
            <w:pPr>
              <w:rPr>
                <w:sz w:val="20"/>
                <w:szCs w:val="20"/>
              </w:rPr>
            </w:pPr>
            <w:r>
              <w:rPr>
                <w:sz w:val="20"/>
                <w:szCs w:val="20"/>
              </w:rPr>
              <w:t>Who?</w:t>
            </w:r>
            <w:r w:rsidR="00397F45">
              <w:rPr>
                <w:sz w:val="20"/>
                <w:szCs w:val="20"/>
              </w:rPr>
              <w:t xml:space="preserve"> What? Literal (</w:t>
            </w:r>
            <w:proofErr w:type="spellStart"/>
            <w:r w:rsidR="00397F45">
              <w:rPr>
                <w:sz w:val="20"/>
                <w:szCs w:val="20"/>
              </w:rPr>
              <w:t>pg</w:t>
            </w:r>
            <w:proofErr w:type="spellEnd"/>
            <w:r w:rsidR="00397F45">
              <w:rPr>
                <w:sz w:val="20"/>
                <w:szCs w:val="20"/>
              </w:rPr>
              <w:t xml:space="preserve"> 216)</w:t>
            </w:r>
          </w:p>
          <w:p w:rsidR="00A84F77" w:rsidRDefault="00A84F77">
            <w:pPr>
              <w:rPr>
                <w:sz w:val="20"/>
                <w:szCs w:val="20"/>
              </w:rPr>
            </w:pPr>
            <w:r>
              <w:rPr>
                <w:sz w:val="20"/>
                <w:szCs w:val="20"/>
              </w:rPr>
              <w:t>Cause-and-Effect (</w:t>
            </w:r>
            <w:proofErr w:type="spellStart"/>
            <w:r>
              <w:rPr>
                <w:sz w:val="20"/>
                <w:szCs w:val="20"/>
              </w:rPr>
              <w:t>pg</w:t>
            </w:r>
            <w:proofErr w:type="spellEnd"/>
            <w:r>
              <w:rPr>
                <w:sz w:val="20"/>
                <w:szCs w:val="20"/>
              </w:rPr>
              <w:t xml:space="preserve"> 225-227)</w:t>
            </w:r>
          </w:p>
          <w:p w:rsidR="00397F45" w:rsidRDefault="00397F45">
            <w:pPr>
              <w:rPr>
                <w:sz w:val="20"/>
                <w:szCs w:val="20"/>
              </w:rPr>
            </w:pPr>
          </w:p>
          <w:p w:rsidR="00397F45" w:rsidRPr="00450FA5" w:rsidRDefault="00397F45" w:rsidP="00397F45">
            <w:pPr>
              <w:rPr>
                <w:b/>
                <w:sz w:val="20"/>
                <w:szCs w:val="20"/>
              </w:rPr>
            </w:pPr>
            <w:r w:rsidRPr="00450FA5">
              <w:rPr>
                <w:b/>
                <w:sz w:val="20"/>
                <w:szCs w:val="20"/>
              </w:rPr>
              <w:t>In Information Text</w:t>
            </w:r>
            <w:r>
              <w:rPr>
                <w:b/>
                <w:sz w:val="20"/>
                <w:szCs w:val="20"/>
              </w:rPr>
              <w:t>s</w:t>
            </w:r>
            <w:r w:rsidRPr="00450FA5">
              <w:rPr>
                <w:b/>
                <w:sz w:val="20"/>
                <w:szCs w:val="20"/>
              </w:rPr>
              <w:t>:</w:t>
            </w:r>
          </w:p>
          <w:p w:rsidR="00397F45" w:rsidRDefault="00397F45" w:rsidP="00397F45">
            <w:pPr>
              <w:rPr>
                <w:sz w:val="20"/>
                <w:szCs w:val="20"/>
              </w:rPr>
            </w:pPr>
            <w:r>
              <w:rPr>
                <w:sz w:val="20"/>
                <w:szCs w:val="20"/>
              </w:rPr>
              <w:t>VIP Literal Level (</w:t>
            </w:r>
            <w:proofErr w:type="spellStart"/>
            <w:r>
              <w:rPr>
                <w:sz w:val="20"/>
                <w:szCs w:val="20"/>
              </w:rPr>
              <w:t>pg</w:t>
            </w:r>
            <w:proofErr w:type="spellEnd"/>
            <w:r>
              <w:rPr>
                <w:sz w:val="20"/>
                <w:szCs w:val="20"/>
              </w:rPr>
              <w:t xml:space="preserve"> 218)</w:t>
            </w:r>
          </w:p>
          <w:p w:rsidR="0079077E" w:rsidRDefault="00397F45">
            <w:pPr>
              <w:rPr>
                <w:sz w:val="20"/>
                <w:szCs w:val="20"/>
              </w:rPr>
            </w:pPr>
            <w:r>
              <w:rPr>
                <w:sz w:val="20"/>
                <w:szCs w:val="20"/>
              </w:rPr>
              <w:t>Main Idea Question/Details(</w:t>
            </w:r>
            <w:proofErr w:type="spellStart"/>
            <w:r>
              <w:rPr>
                <w:sz w:val="20"/>
                <w:szCs w:val="20"/>
              </w:rPr>
              <w:t>pg</w:t>
            </w:r>
            <w:proofErr w:type="spellEnd"/>
            <w:r>
              <w:rPr>
                <w:sz w:val="20"/>
                <w:szCs w:val="20"/>
              </w:rPr>
              <w:t xml:space="preserve"> 218)</w:t>
            </w:r>
          </w:p>
          <w:p w:rsidR="00A84F77" w:rsidRPr="00450FA5" w:rsidRDefault="00A84F77">
            <w:pPr>
              <w:rPr>
                <w:sz w:val="20"/>
                <w:szCs w:val="20"/>
              </w:rPr>
            </w:pPr>
            <w:r>
              <w:rPr>
                <w:sz w:val="20"/>
                <w:szCs w:val="20"/>
              </w:rPr>
              <w:t>Cause-and-Effect (</w:t>
            </w:r>
            <w:proofErr w:type="spellStart"/>
            <w:r>
              <w:rPr>
                <w:sz w:val="20"/>
                <w:szCs w:val="20"/>
              </w:rPr>
              <w:t>pg</w:t>
            </w:r>
            <w:proofErr w:type="spellEnd"/>
            <w:r>
              <w:rPr>
                <w:sz w:val="20"/>
                <w:szCs w:val="20"/>
              </w:rPr>
              <w:t xml:space="preserve"> 225-227)</w:t>
            </w:r>
          </w:p>
        </w:tc>
        <w:tc>
          <w:tcPr>
            <w:tcW w:w="2161" w:type="pct"/>
          </w:tcPr>
          <w:p w:rsidR="0079077E" w:rsidRDefault="00F10F3A" w:rsidP="00505BFE">
            <w:pPr>
              <w:rPr>
                <w:b/>
                <w:sz w:val="20"/>
                <w:szCs w:val="20"/>
              </w:rPr>
            </w:pPr>
            <w:r>
              <w:rPr>
                <w:b/>
                <w:sz w:val="20"/>
                <w:szCs w:val="20"/>
              </w:rPr>
              <w:t>Informative/Explanatory Content Task</w:t>
            </w:r>
          </w:p>
          <w:p w:rsidR="00F10F3A" w:rsidRPr="00F10F3A" w:rsidRDefault="00F3016B" w:rsidP="00F3016B">
            <w:pPr>
              <w:rPr>
                <w:sz w:val="20"/>
                <w:szCs w:val="20"/>
              </w:rPr>
            </w:pPr>
            <w:hyperlink r:id="rId6" w:history="1">
              <w:r w:rsidRPr="00F3016B">
                <w:rPr>
                  <w:rStyle w:val="Hyperlink"/>
                  <w:sz w:val="20"/>
                  <w:szCs w:val="20"/>
                </w:rPr>
                <w:t>Unit of Study: Informational Writing and Research - Includes mentor texts, rubric, mini-lessons</w:t>
              </w:r>
            </w:hyperlink>
          </w:p>
        </w:tc>
      </w:tr>
      <w:tr w:rsidR="0079077E" w:rsidTr="00450FA5">
        <w:tc>
          <w:tcPr>
            <w:tcW w:w="188" w:type="pct"/>
            <w:vMerge/>
            <w:shd w:val="clear" w:color="auto" w:fill="D9D9D9" w:themeFill="background1" w:themeFillShade="D9"/>
            <w:textDirection w:val="btLr"/>
          </w:tcPr>
          <w:p w:rsidR="0079077E" w:rsidRPr="0079077E" w:rsidRDefault="0079077E" w:rsidP="00597318">
            <w:pPr>
              <w:ind w:left="113" w:right="113"/>
              <w:jc w:val="center"/>
              <w:rPr>
                <w:b/>
              </w:rPr>
            </w:pPr>
          </w:p>
        </w:tc>
        <w:tc>
          <w:tcPr>
            <w:tcW w:w="526" w:type="pct"/>
            <w:shd w:val="clear" w:color="auto" w:fill="D9D9D9" w:themeFill="background1" w:themeFillShade="D9"/>
          </w:tcPr>
          <w:p w:rsidR="0079077E" w:rsidRPr="00597318" w:rsidRDefault="0079077E">
            <w:pPr>
              <w:rPr>
                <w:b/>
                <w:u w:val="single"/>
              </w:rPr>
            </w:pPr>
            <w:r w:rsidRPr="00597318">
              <w:rPr>
                <w:b/>
                <w:u w:val="single"/>
              </w:rPr>
              <w:t>Unit 3</w:t>
            </w:r>
          </w:p>
          <w:p w:rsidR="0079077E" w:rsidRPr="0079077E" w:rsidRDefault="00803FE8">
            <w:pPr>
              <w:rPr>
                <w:b/>
              </w:rPr>
            </w:pPr>
            <w:r>
              <w:rPr>
                <w:b/>
              </w:rPr>
              <w:t>Creative, Inventive and Notable People</w:t>
            </w:r>
          </w:p>
        </w:tc>
        <w:tc>
          <w:tcPr>
            <w:tcW w:w="1015" w:type="pct"/>
          </w:tcPr>
          <w:p w:rsidR="002F1F63" w:rsidRPr="00450FA5" w:rsidRDefault="002F1F63" w:rsidP="002F1F63">
            <w:pPr>
              <w:rPr>
                <w:sz w:val="20"/>
                <w:szCs w:val="20"/>
              </w:rPr>
            </w:pPr>
            <w:r w:rsidRPr="00450FA5">
              <w:rPr>
                <w:sz w:val="20"/>
                <w:szCs w:val="20"/>
              </w:rPr>
              <w:t>Asking Questions</w:t>
            </w:r>
          </w:p>
          <w:p w:rsidR="002F1F63" w:rsidRPr="00450FA5" w:rsidRDefault="002F1F63" w:rsidP="002F1F63">
            <w:pPr>
              <w:rPr>
                <w:sz w:val="20"/>
                <w:szCs w:val="20"/>
              </w:rPr>
            </w:pPr>
            <w:r>
              <w:rPr>
                <w:sz w:val="20"/>
                <w:szCs w:val="20"/>
              </w:rPr>
              <w:t>(3</w:t>
            </w:r>
            <w:r w:rsidRPr="00450FA5">
              <w:rPr>
                <w:sz w:val="20"/>
                <w:szCs w:val="20"/>
              </w:rPr>
              <w:t xml:space="preserve"> Lessons)</w:t>
            </w:r>
          </w:p>
          <w:p w:rsidR="002F1F63" w:rsidRPr="00450FA5" w:rsidRDefault="002F1F63">
            <w:pPr>
              <w:rPr>
                <w:sz w:val="20"/>
                <w:szCs w:val="20"/>
              </w:rPr>
            </w:pPr>
          </w:p>
        </w:tc>
        <w:tc>
          <w:tcPr>
            <w:tcW w:w="1109" w:type="pct"/>
          </w:tcPr>
          <w:p w:rsidR="00252BD7" w:rsidRDefault="00252BD7" w:rsidP="00252BD7">
            <w:pPr>
              <w:rPr>
                <w:sz w:val="20"/>
                <w:szCs w:val="20"/>
              </w:rPr>
            </w:pPr>
            <w:r>
              <w:rPr>
                <w:sz w:val="20"/>
                <w:szCs w:val="20"/>
              </w:rPr>
              <w:t xml:space="preserve">Turning Facts Into Questions </w:t>
            </w:r>
          </w:p>
          <w:p w:rsidR="00252BD7" w:rsidRDefault="00252BD7" w:rsidP="00252BD7">
            <w:pPr>
              <w:tabs>
                <w:tab w:val="center" w:pos="1513"/>
              </w:tabs>
              <w:rPr>
                <w:sz w:val="20"/>
                <w:szCs w:val="20"/>
              </w:rPr>
            </w:pPr>
            <w:r>
              <w:rPr>
                <w:sz w:val="20"/>
                <w:szCs w:val="20"/>
              </w:rPr>
              <w:t>(</w:t>
            </w:r>
            <w:proofErr w:type="spellStart"/>
            <w:r>
              <w:rPr>
                <w:sz w:val="20"/>
                <w:szCs w:val="20"/>
              </w:rPr>
              <w:t>pg</w:t>
            </w:r>
            <w:proofErr w:type="spellEnd"/>
            <w:r>
              <w:rPr>
                <w:sz w:val="20"/>
                <w:szCs w:val="20"/>
              </w:rPr>
              <w:t xml:space="preserve"> 210)</w:t>
            </w:r>
            <w:r>
              <w:rPr>
                <w:sz w:val="20"/>
                <w:szCs w:val="20"/>
              </w:rPr>
              <w:tab/>
            </w:r>
          </w:p>
          <w:p w:rsidR="00252BD7" w:rsidRDefault="00252BD7" w:rsidP="00252BD7">
            <w:pPr>
              <w:rPr>
                <w:sz w:val="20"/>
                <w:szCs w:val="20"/>
              </w:rPr>
            </w:pPr>
            <w:r>
              <w:rPr>
                <w:sz w:val="20"/>
                <w:szCs w:val="20"/>
              </w:rPr>
              <w:t>Green Questions (</w:t>
            </w:r>
            <w:proofErr w:type="spellStart"/>
            <w:r>
              <w:rPr>
                <w:sz w:val="20"/>
                <w:szCs w:val="20"/>
              </w:rPr>
              <w:t>pg</w:t>
            </w:r>
            <w:proofErr w:type="spellEnd"/>
            <w:r>
              <w:rPr>
                <w:sz w:val="20"/>
                <w:szCs w:val="20"/>
              </w:rPr>
              <w:t xml:space="preserve"> 211)</w:t>
            </w:r>
          </w:p>
          <w:p w:rsidR="00252BD7" w:rsidRDefault="00252BD7" w:rsidP="00252BD7">
            <w:pPr>
              <w:rPr>
                <w:sz w:val="20"/>
                <w:szCs w:val="20"/>
              </w:rPr>
            </w:pPr>
            <w:r>
              <w:rPr>
                <w:sz w:val="20"/>
                <w:szCs w:val="20"/>
              </w:rPr>
              <w:t>Yellow Questions (</w:t>
            </w:r>
            <w:proofErr w:type="spellStart"/>
            <w:r>
              <w:rPr>
                <w:sz w:val="20"/>
                <w:szCs w:val="20"/>
              </w:rPr>
              <w:t>pg</w:t>
            </w:r>
            <w:proofErr w:type="spellEnd"/>
            <w:r>
              <w:rPr>
                <w:sz w:val="20"/>
                <w:szCs w:val="20"/>
              </w:rPr>
              <w:t xml:space="preserve"> 212)</w:t>
            </w:r>
          </w:p>
          <w:p w:rsidR="00450FA5" w:rsidRPr="00450FA5" w:rsidRDefault="00252BD7">
            <w:pPr>
              <w:rPr>
                <w:sz w:val="20"/>
                <w:szCs w:val="20"/>
              </w:rPr>
            </w:pPr>
            <w:r>
              <w:rPr>
                <w:sz w:val="20"/>
                <w:szCs w:val="20"/>
              </w:rPr>
              <w:t>Red Questions (</w:t>
            </w:r>
            <w:proofErr w:type="spellStart"/>
            <w:r>
              <w:rPr>
                <w:sz w:val="20"/>
                <w:szCs w:val="20"/>
              </w:rPr>
              <w:t>pg</w:t>
            </w:r>
            <w:proofErr w:type="spellEnd"/>
            <w:r>
              <w:rPr>
                <w:sz w:val="20"/>
                <w:szCs w:val="20"/>
              </w:rPr>
              <w:t xml:space="preserve"> 212)</w:t>
            </w:r>
          </w:p>
        </w:tc>
        <w:tc>
          <w:tcPr>
            <w:tcW w:w="2161" w:type="pct"/>
          </w:tcPr>
          <w:p w:rsidR="0079077E" w:rsidRPr="00450FA5" w:rsidRDefault="00F10F3A" w:rsidP="0079077E">
            <w:pPr>
              <w:rPr>
                <w:b/>
                <w:sz w:val="20"/>
                <w:szCs w:val="20"/>
              </w:rPr>
            </w:pPr>
            <w:r>
              <w:rPr>
                <w:b/>
                <w:sz w:val="20"/>
                <w:szCs w:val="20"/>
              </w:rPr>
              <w:t>Assisted Content Task (Biographies)/Shared Research</w:t>
            </w:r>
          </w:p>
        </w:tc>
      </w:tr>
      <w:tr w:rsidR="0079077E" w:rsidTr="00450FA5">
        <w:tc>
          <w:tcPr>
            <w:tcW w:w="188" w:type="pct"/>
            <w:vMerge w:val="restart"/>
            <w:shd w:val="clear" w:color="auto" w:fill="D9D9D9" w:themeFill="background1" w:themeFillShade="D9"/>
            <w:textDirection w:val="btLr"/>
          </w:tcPr>
          <w:p w:rsidR="0079077E" w:rsidRPr="0079077E" w:rsidRDefault="0079077E" w:rsidP="00597318">
            <w:pPr>
              <w:ind w:left="113" w:right="113"/>
              <w:jc w:val="center"/>
              <w:rPr>
                <w:b/>
              </w:rPr>
            </w:pPr>
            <w:r w:rsidRPr="0079077E">
              <w:rPr>
                <w:b/>
              </w:rPr>
              <w:t>Quarter 3</w:t>
            </w:r>
          </w:p>
        </w:tc>
        <w:tc>
          <w:tcPr>
            <w:tcW w:w="526" w:type="pct"/>
            <w:shd w:val="clear" w:color="auto" w:fill="D9D9D9" w:themeFill="background1" w:themeFillShade="D9"/>
          </w:tcPr>
          <w:p w:rsidR="0079077E" w:rsidRPr="00597318" w:rsidRDefault="0079077E">
            <w:pPr>
              <w:rPr>
                <w:b/>
                <w:u w:val="single"/>
              </w:rPr>
            </w:pPr>
            <w:r w:rsidRPr="00597318">
              <w:rPr>
                <w:b/>
                <w:u w:val="single"/>
              </w:rPr>
              <w:t>Unit 4</w:t>
            </w:r>
          </w:p>
          <w:p w:rsidR="0079077E" w:rsidRPr="0079077E" w:rsidRDefault="00803FE8">
            <w:pPr>
              <w:rPr>
                <w:b/>
              </w:rPr>
            </w:pPr>
            <w:r>
              <w:rPr>
                <w:b/>
              </w:rPr>
              <w:t>The People, The Preamble, and the Presidents</w:t>
            </w:r>
          </w:p>
        </w:tc>
        <w:tc>
          <w:tcPr>
            <w:tcW w:w="1015" w:type="pct"/>
          </w:tcPr>
          <w:p w:rsidR="002F1F63" w:rsidRPr="00450FA5" w:rsidRDefault="002F1F63" w:rsidP="002F1F63">
            <w:pPr>
              <w:rPr>
                <w:sz w:val="20"/>
                <w:szCs w:val="20"/>
              </w:rPr>
            </w:pPr>
            <w:r w:rsidRPr="00450FA5">
              <w:rPr>
                <w:sz w:val="20"/>
                <w:szCs w:val="20"/>
              </w:rPr>
              <w:t>Inferring and Visualizing</w:t>
            </w:r>
          </w:p>
          <w:p w:rsidR="002F1F63" w:rsidRDefault="002F1F63" w:rsidP="002F1F63">
            <w:pPr>
              <w:rPr>
                <w:sz w:val="20"/>
                <w:szCs w:val="20"/>
              </w:rPr>
            </w:pPr>
            <w:r>
              <w:rPr>
                <w:sz w:val="20"/>
                <w:szCs w:val="20"/>
              </w:rPr>
              <w:t>(6</w:t>
            </w:r>
            <w:r w:rsidRPr="00450FA5">
              <w:rPr>
                <w:sz w:val="20"/>
                <w:szCs w:val="20"/>
              </w:rPr>
              <w:t xml:space="preserve"> Lessons)</w:t>
            </w:r>
          </w:p>
          <w:p w:rsidR="00450FA5" w:rsidRPr="00450FA5" w:rsidRDefault="00450FA5" w:rsidP="002F1F63">
            <w:pPr>
              <w:rPr>
                <w:sz w:val="20"/>
                <w:szCs w:val="20"/>
              </w:rPr>
            </w:pPr>
          </w:p>
        </w:tc>
        <w:tc>
          <w:tcPr>
            <w:tcW w:w="1109" w:type="pct"/>
          </w:tcPr>
          <w:p w:rsidR="00252BD7" w:rsidRDefault="00252BD7" w:rsidP="00252BD7">
            <w:pPr>
              <w:rPr>
                <w:sz w:val="20"/>
                <w:szCs w:val="20"/>
              </w:rPr>
            </w:pPr>
            <w:r>
              <w:rPr>
                <w:sz w:val="20"/>
                <w:szCs w:val="20"/>
              </w:rPr>
              <w:t>Predict-Support-Adjust (</w:t>
            </w:r>
            <w:proofErr w:type="spellStart"/>
            <w:r>
              <w:rPr>
                <w:sz w:val="20"/>
                <w:szCs w:val="20"/>
              </w:rPr>
              <w:t>pg</w:t>
            </w:r>
            <w:proofErr w:type="spellEnd"/>
            <w:r>
              <w:rPr>
                <w:sz w:val="20"/>
                <w:szCs w:val="20"/>
              </w:rPr>
              <w:t xml:space="preserve"> 206)</w:t>
            </w:r>
          </w:p>
          <w:p w:rsidR="00252BD7" w:rsidRDefault="00252BD7" w:rsidP="00252BD7">
            <w:pPr>
              <w:rPr>
                <w:sz w:val="20"/>
                <w:szCs w:val="20"/>
              </w:rPr>
            </w:pPr>
            <w:r>
              <w:rPr>
                <w:sz w:val="20"/>
                <w:szCs w:val="20"/>
              </w:rPr>
              <w:t>Make Inferences (Dialogue, Character’s Actions, Physical Descriptions, Inner Thoughts</w:t>
            </w:r>
            <w:r w:rsidR="00A84F77">
              <w:rPr>
                <w:sz w:val="20"/>
                <w:szCs w:val="20"/>
              </w:rPr>
              <w:t>) (</w:t>
            </w:r>
            <w:proofErr w:type="spellStart"/>
            <w:r w:rsidR="00A84F77">
              <w:rPr>
                <w:sz w:val="20"/>
                <w:szCs w:val="20"/>
              </w:rPr>
              <w:t>pg</w:t>
            </w:r>
            <w:proofErr w:type="spellEnd"/>
            <w:r w:rsidR="00A84F77">
              <w:rPr>
                <w:sz w:val="20"/>
                <w:szCs w:val="20"/>
              </w:rPr>
              <w:t xml:space="preserve"> 231-236)</w:t>
            </w:r>
          </w:p>
          <w:p w:rsidR="00450FA5" w:rsidRDefault="00252BD7" w:rsidP="00252BD7">
            <w:pPr>
              <w:rPr>
                <w:sz w:val="20"/>
                <w:szCs w:val="20"/>
              </w:rPr>
            </w:pPr>
            <w:r>
              <w:rPr>
                <w:sz w:val="20"/>
                <w:szCs w:val="20"/>
              </w:rPr>
              <w:t>Character Trait Web (</w:t>
            </w:r>
            <w:proofErr w:type="spellStart"/>
            <w:r>
              <w:rPr>
                <w:sz w:val="20"/>
                <w:szCs w:val="20"/>
              </w:rPr>
              <w:t>pg</w:t>
            </w:r>
            <w:proofErr w:type="spellEnd"/>
            <w:r>
              <w:rPr>
                <w:sz w:val="20"/>
                <w:szCs w:val="20"/>
              </w:rPr>
              <w:t xml:space="preserve"> 230)</w:t>
            </w:r>
          </w:p>
          <w:p w:rsidR="0079077E" w:rsidRPr="00450FA5" w:rsidRDefault="00A84F77">
            <w:pPr>
              <w:rPr>
                <w:sz w:val="20"/>
                <w:szCs w:val="20"/>
              </w:rPr>
            </w:pPr>
            <w:r>
              <w:rPr>
                <w:sz w:val="20"/>
                <w:szCs w:val="20"/>
              </w:rPr>
              <w:t>Action-Trait (</w:t>
            </w:r>
            <w:proofErr w:type="spellStart"/>
            <w:r>
              <w:rPr>
                <w:sz w:val="20"/>
                <w:szCs w:val="20"/>
              </w:rPr>
              <w:t>pg</w:t>
            </w:r>
            <w:proofErr w:type="spellEnd"/>
            <w:r>
              <w:rPr>
                <w:sz w:val="20"/>
                <w:szCs w:val="20"/>
              </w:rPr>
              <w:t xml:space="preserve"> 229)</w:t>
            </w:r>
          </w:p>
        </w:tc>
        <w:tc>
          <w:tcPr>
            <w:tcW w:w="2161" w:type="pct"/>
          </w:tcPr>
          <w:p w:rsidR="0079077E" w:rsidRDefault="00F10F3A" w:rsidP="00E80A3C">
            <w:pPr>
              <w:rPr>
                <w:b/>
                <w:sz w:val="20"/>
                <w:szCs w:val="20"/>
              </w:rPr>
            </w:pPr>
            <w:r>
              <w:rPr>
                <w:b/>
                <w:sz w:val="20"/>
                <w:szCs w:val="20"/>
              </w:rPr>
              <w:t xml:space="preserve">Opinion </w:t>
            </w:r>
            <w:r w:rsidR="00F3016B">
              <w:rPr>
                <w:b/>
                <w:sz w:val="20"/>
                <w:szCs w:val="20"/>
              </w:rPr>
              <w:t>Writing</w:t>
            </w:r>
          </w:p>
          <w:p w:rsidR="00F3016B" w:rsidRDefault="00F3016B" w:rsidP="00E80A3C">
            <w:pPr>
              <w:rPr>
                <w:b/>
                <w:sz w:val="20"/>
                <w:szCs w:val="20"/>
              </w:rPr>
            </w:pPr>
            <w:hyperlink r:id="rId7" w:history="1">
              <w:r w:rsidRPr="00F3016B">
                <w:rPr>
                  <w:rStyle w:val="Hyperlink"/>
                  <w:b/>
                  <w:sz w:val="20"/>
                  <w:szCs w:val="20"/>
                </w:rPr>
                <w:t>Writer's Workshop Opinion Lessons</w:t>
              </w:r>
            </w:hyperlink>
          </w:p>
          <w:p w:rsidR="00205FD2" w:rsidRPr="00450FA5" w:rsidRDefault="00205FD2" w:rsidP="00E80A3C">
            <w:pPr>
              <w:rPr>
                <w:b/>
                <w:sz w:val="20"/>
                <w:szCs w:val="20"/>
              </w:rPr>
            </w:pPr>
          </w:p>
          <w:p w:rsidR="00205FD2" w:rsidRDefault="00205FD2" w:rsidP="0079077E">
            <w:pPr>
              <w:rPr>
                <w:sz w:val="20"/>
                <w:szCs w:val="20"/>
              </w:rPr>
            </w:pPr>
            <w:r>
              <w:rPr>
                <w:sz w:val="20"/>
                <w:szCs w:val="20"/>
              </w:rPr>
              <w:t>Possible writing activities:</w:t>
            </w:r>
          </w:p>
          <w:p w:rsidR="0079077E" w:rsidRDefault="001A48A8" w:rsidP="00205FD2">
            <w:pPr>
              <w:pStyle w:val="ListParagraph"/>
              <w:numPr>
                <w:ilvl w:val="0"/>
                <w:numId w:val="1"/>
              </w:numPr>
              <w:rPr>
                <w:sz w:val="20"/>
                <w:szCs w:val="20"/>
              </w:rPr>
            </w:pPr>
            <w:r w:rsidRPr="00205FD2">
              <w:rPr>
                <w:sz w:val="20"/>
                <w:szCs w:val="20"/>
              </w:rPr>
              <w:t xml:space="preserve">Choosing a person you studied, what is the most important character trait that they exhibited and </w:t>
            </w:r>
            <w:r w:rsidR="00C22730" w:rsidRPr="00205FD2">
              <w:rPr>
                <w:sz w:val="20"/>
                <w:szCs w:val="20"/>
              </w:rPr>
              <w:t>support with at least two reasons why you think it was so important.</w:t>
            </w:r>
          </w:p>
          <w:p w:rsidR="00C22730" w:rsidRPr="00205FD2" w:rsidRDefault="00C22730" w:rsidP="0079077E">
            <w:pPr>
              <w:pStyle w:val="ListParagraph"/>
              <w:numPr>
                <w:ilvl w:val="0"/>
                <w:numId w:val="1"/>
              </w:numPr>
              <w:rPr>
                <w:sz w:val="20"/>
                <w:szCs w:val="20"/>
              </w:rPr>
            </w:pPr>
            <w:bookmarkStart w:id="0" w:name="_GoBack"/>
            <w:bookmarkEnd w:id="0"/>
            <w:r w:rsidRPr="00205FD2">
              <w:rPr>
                <w:sz w:val="20"/>
                <w:szCs w:val="20"/>
              </w:rPr>
              <w:t xml:space="preserve">Think about the responsibilities that we have as citizens.  Write about what you feel is the most important responsibility and support with at least two reasons why it is so important. </w:t>
            </w:r>
          </w:p>
        </w:tc>
      </w:tr>
      <w:tr w:rsidR="0079077E" w:rsidTr="00450FA5">
        <w:tc>
          <w:tcPr>
            <w:tcW w:w="188" w:type="pct"/>
            <w:vMerge/>
            <w:shd w:val="clear" w:color="auto" w:fill="D9D9D9" w:themeFill="background1" w:themeFillShade="D9"/>
            <w:textDirection w:val="btLr"/>
          </w:tcPr>
          <w:p w:rsidR="0079077E" w:rsidRPr="0079077E" w:rsidRDefault="0079077E" w:rsidP="00597318">
            <w:pPr>
              <w:ind w:left="113" w:right="113"/>
              <w:jc w:val="center"/>
              <w:rPr>
                <w:b/>
              </w:rPr>
            </w:pPr>
          </w:p>
        </w:tc>
        <w:tc>
          <w:tcPr>
            <w:tcW w:w="526" w:type="pct"/>
            <w:shd w:val="clear" w:color="auto" w:fill="D9D9D9" w:themeFill="background1" w:themeFillShade="D9"/>
          </w:tcPr>
          <w:p w:rsidR="0079077E" w:rsidRDefault="0079077E">
            <w:pPr>
              <w:rPr>
                <w:b/>
                <w:u w:val="single"/>
              </w:rPr>
            </w:pPr>
            <w:r w:rsidRPr="00597318">
              <w:rPr>
                <w:b/>
                <w:u w:val="single"/>
              </w:rPr>
              <w:t>Unit 5</w:t>
            </w:r>
          </w:p>
          <w:p w:rsidR="00597318" w:rsidRPr="00597318" w:rsidRDefault="00803FE8">
            <w:pPr>
              <w:rPr>
                <w:b/>
              </w:rPr>
            </w:pPr>
            <w:r>
              <w:rPr>
                <w:b/>
              </w:rPr>
              <w:t xml:space="preserve">A Feast of Words on a </w:t>
            </w:r>
            <w:r>
              <w:rPr>
                <w:b/>
              </w:rPr>
              <w:lastRenderedPageBreak/>
              <w:t>Planet Called Earth – and Beyond</w:t>
            </w:r>
          </w:p>
        </w:tc>
        <w:tc>
          <w:tcPr>
            <w:tcW w:w="1015" w:type="pct"/>
          </w:tcPr>
          <w:p w:rsidR="0079077E" w:rsidRPr="00450FA5" w:rsidRDefault="002F1F63">
            <w:pPr>
              <w:rPr>
                <w:b/>
                <w:sz w:val="20"/>
                <w:szCs w:val="20"/>
              </w:rPr>
            </w:pPr>
            <w:r>
              <w:rPr>
                <w:sz w:val="20"/>
                <w:szCs w:val="20"/>
              </w:rPr>
              <w:lastRenderedPageBreak/>
              <w:t xml:space="preserve">Summarize and Synthesize </w:t>
            </w:r>
            <w:r w:rsidR="00F3016B">
              <w:rPr>
                <w:sz w:val="20"/>
                <w:szCs w:val="20"/>
              </w:rPr>
              <w:t xml:space="preserve">         </w:t>
            </w:r>
            <w:r>
              <w:rPr>
                <w:sz w:val="20"/>
                <w:szCs w:val="20"/>
              </w:rPr>
              <w:t>(5</w:t>
            </w:r>
            <w:r w:rsidR="00450FA5" w:rsidRPr="00450FA5">
              <w:rPr>
                <w:sz w:val="20"/>
                <w:szCs w:val="20"/>
              </w:rPr>
              <w:t xml:space="preserve"> Lessons)</w:t>
            </w:r>
          </w:p>
        </w:tc>
        <w:tc>
          <w:tcPr>
            <w:tcW w:w="1109" w:type="pct"/>
          </w:tcPr>
          <w:p w:rsidR="00450FA5" w:rsidRDefault="00450FA5">
            <w:pPr>
              <w:rPr>
                <w:b/>
                <w:sz w:val="20"/>
                <w:szCs w:val="20"/>
              </w:rPr>
            </w:pPr>
            <w:r>
              <w:rPr>
                <w:b/>
                <w:sz w:val="20"/>
                <w:szCs w:val="20"/>
              </w:rPr>
              <w:t>In Information Texts:</w:t>
            </w:r>
          </w:p>
          <w:p w:rsidR="00252BD7" w:rsidRDefault="00252BD7">
            <w:pPr>
              <w:rPr>
                <w:sz w:val="20"/>
                <w:szCs w:val="20"/>
              </w:rPr>
            </w:pPr>
            <w:r>
              <w:rPr>
                <w:sz w:val="20"/>
                <w:szCs w:val="20"/>
              </w:rPr>
              <w:t>Synthesize (</w:t>
            </w:r>
            <w:proofErr w:type="spellStart"/>
            <w:r>
              <w:rPr>
                <w:sz w:val="20"/>
                <w:szCs w:val="20"/>
              </w:rPr>
              <w:t>pg</w:t>
            </w:r>
            <w:proofErr w:type="spellEnd"/>
            <w:r>
              <w:rPr>
                <w:sz w:val="20"/>
                <w:szCs w:val="20"/>
              </w:rPr>
              <w:t xml:space="preserve"> 221)</w:t>
            </w:r>
          </w:p>
          <w:p w:rsidR="00252BD7" w:rsidRDefault="00450FA5">
            <w:pPr>
              <w:rPr>
                <w:sz w:val="20"/>
                <w:szCs w:val="20"/>
              </w:rPr>
            </w:pPr>
            <w:r>
              <w:rPr>
                <w:sz w:val="20"/>
                <w:szCs w:val="20"/>
              </w:rPr>
              <w:t>Key Word/Summary (</w:t>
            </w:r>
            <w:proofErr w:type="spellStart"/>
            <w:r>
              <w:rPr>
                <w:sz w:val="20"/>
                <w:szCs w:val="20"/>
              </w:rPr>
              <w:t>pg</w:t>
            </w:r>
            <w:proofErr w:type="spellEnd"/>
            <w:r>
              <w:rPr>
                <w:sz w:val="20"/>
                <w:szCs w:val="20"/>
              </w:rPr>
              <w:t xml:space="preserve"> 222)</w:t>
            </w:r>
          </w:p>
          <w:p w:rsidR="00252BD7" w:rsidRDefault="00252BD7">
            <w:pPr>
              <w:rPr>
                <w:sz w:val="20"/>
                <w:szCs w:val="20"/>
              </w:rPr>
            </w:pPr>
            <w:r>
              <w:rPr>
                <w:sz w:val="20"/>
                <w:szCs w:val="20"/>
              </w:rPr>
              <w:lastRenderedPageBreak/>
              <w:t>Draw Conclusions (</w:t>
            </w:r>
            <w:proofErr w:type="spellStart"/>
            <w:r>
              <w:rPr>
                <w:sz w:val="20"/>
                <w:szCs w:val="20"/>
              </w:rPr>
              <w:t>pg</w:t>
            </w:r>
            <w:proofErr w:type="spellEnd"/>
            <w:r>
              <w:rPr>
                <w:sz w:val="20"/>
                <w:szCs w:val="20"/>
              </w:rPr>
              <w:t xml:space="preserve"> 224)</w:t>
            </w:r>
          </w:p>
          <w:p w:rsidR="00252BD7" w:rsidRPr="00450FA5" w:rsidRDefault="00252BD7">
            <w:pPr>
              <w:rPr>
                <w:sz w:val="20"/>
                <w:szCs w:val="20"/>
              </w:rPr>
            </w:pPr>
          </w:p>
        </w:tc>
        <w:tc>
          <w:tcPr>
            <w:tcW w:w="2161" w:type="pct"/>
          </w:tcPr>
          <w:p w:rsidR="0079077E" w:rsidRDefault="00F10F3A" w:rsidP="00E80A3C">
            <w:pPr>
              <w:rPr>
                <w:b/>
                <w:sz w:val="20"/>
                <w:szCs w:val="20"/>
              </w:rPr>
            </w:pPr>
            <w:r>
              <w:rPr>
                <w:b/>
                <w:sz w:val="20"/>
                <w:szCs w:val="20"/>
              </w:rPr>
              <w:lastRenderedPageBreak/>
              <w:t>Shared Research/Informative Writing</w:t>
            </w:r>
          </w:p>
          <w:p w:rsidR="00C22730" w:rsidRDefault="00C22730" w:rsidP="00E80A3C">
            <w:pPr>
              <w:rPr>
                <w:b/>
                <w:sz w:val="20"/>
                <w:szCs w:val="20"/>
              </w:rPr>
            </w:pPr>
          </w:p>
          <w:p w:rsidR="00C22730" w:rsidRPr="00450FA5" w:rsidRDefault="00C22730" w:rsidP="00E80A3C">
            <w:pPr>
              <w:rPr>
                <w:sz w:val="20"/>
                <w:szCs w:val="20"/>
              </w:rPr>
            </w:pPr>
          </w:p>
        </w:tc>
      </w:tr>
      <w:tr w:rsidR="0079077E" w:rsidTr="00450FA5">
        <w:trPr>
          <w:cantSplit/>
          <w:trHeight w:val="1134"/>
        </w:trPr>
        <w:tc>
          <w:tcPr>
            <w:tcW w:w="188" w:type="pct"/>
            <w:shd w:val="clear" w:color="auto" w:fill="D9D9D9" w:themeFill="background1" w:themeFillShade="D9"/>
            <w:textDirection w:val="btLr"/>
          </w:tcPr>
          <w:p w:rsidR="0079077E" w:rsidRPr="0079077E" w:rsidRDefault="00597318" w:rsidP="00597318">
            <w:pPr>
              <w:ind w:left="113" w:right="113"/>
              <w:jc w:val="center"/>
              <w:rPr>
                <w:b/>
              </w:rPr>
            </w:pPr>
            <w:r>
              <w:rPr>
                <w:b/>
              </w:rPr>
              <w:lastRenderedPageBreak/>
              <w:t xml:space="preserve">Quarter </w:t>
            </w:r>
            <w:r w:rsidR="0079077E" w:rsidRPr="0079077E">
              <w:rPr>
                <w:b/>
              </w:rPr>
              <w:t>4</w:t>
            </w:r>
          </w:p>
        </w:tc>
        <w:tc>
          <w:tcPr>
            <w:tcW w:w="526" w:type="pct"/>
            <w:shd w:val="clear" w:color="auto" w:fill="D9D9D9" w:themeFill="background1" w:themeFillShade="D9"/>
          </w:tcPr>
          <w:p w:rsidR="0079077E" w:rsidRPr="00597318" w:rsidRDefault="0079077E">
            <w:pPr>
              <w:rPr>
                <w:b/>
                <w:u w:val="single"/>
              </w:rPr>
            </w:pPr>
            <w:r w:rsidRPr="00597318">
              <w:rPr>
                <w:b/>
                <w:u w:val="single"/>
              </w:rPr>
              <w:t>Unit 6</w:t>
            </w:r>
          </w:p>
          <w:p w:rsidR="0079077E" w:rsidRPr="0079077E" w:rsidRDefault="00803FE8">
            <w:pPr>
              <w:rPr>
                <w:b/>
              </w:rPr>
            </w:pPr>
            <w:r>
              <w:rPr>
                <w:b/>
              </w:rPr>
              <w:t>Fantastic Adventures with Dragons, Gods, and Giants</w:t>
            </w:r>
          </w:p>
        </w:tc>
        <w:tc>
          <w:tcPr>
            <w:tcW w:w="1015" w:type="pct"/>
          </w:tcPr>
          <w:p w:rsidR="0079077E" w:rsidRPr="00450FA5" w:rsidRDefault="00450FA5">
            <w:pPr>
              <w:rPr>
                <w:sz w:val="20"/>
                <w:szCs w:val="20"/>
              </w:rPr>
            </w:pPr>
            <w:r w:rsidRPr="00450FA5">
              <w:rPr>
                <w:sz w:val="20"/>
                <w:szCs w:val="20"/>
              </w:rPr>
              <w:t>The fourth quarter should be used to spiral back to the strategies.  Teachers should h</w:t>
            </w:r>
            <w:r w:rsidR="002F1F63">
              <w:rPr>
                <w:sz w:val="20"/>
                <w:szCs w:val="20"/>
              </w:rPr>
              <w:t xml:space="preserve">elp students utilize </w:t>
            </w:r>
            <w:r w:rsidRPr="00450FA5">
              <w:rPr>
                <w:sz w:val="20"/>
                <w:szCs w:val="20"/>
              </w:rPr>
              <w:t xml:space="preserve">these metacognitive strategies </w:t>
            </w:r>
            <w:r w:rsidR="002F1F63">
              <w:rPr>
                <w:sz w:val="20"/>
                <w:szCs w:val="20"/>
              </w:rPr>
              <w:t xml:space="preserve">and see how they </w:t>
            </w:r>
            <w:r w:rsidRPr="00450FA5">
              <w:rPr>
                <w:sz w:val="20"/>
                <w:szCs w:val="20"/>
              </w:rPr>
              <w:t>work together when reading</w:t>
            </w:r>
            <w:r>
              <w:rPr>
                <w:sz w:val="20"/>
                <w:szCs w:val="20"/>
              </w:rPr>
              <w:t>.</w:t>
            </w:r>
          </w:p>
        </w:tc>
        <w:tc>
          <w:tcPr>
            <w:tcW w:w="1109" w:type="pct"/>
          </w:tcPr>
          <w:p w:rsidR="0079077E" w:rsidRPr="00450FA5" w:rsidRDefault="00450FA5" w:rsidP="0079077E">
            <w:pPr>
              <w:rPr>
                <w:sz w:val="20"/>
                <w:szCs w:val="20"/>
              </w:rPr>
            </w:pPr>
            <w:r>
              <w:rPr>
                <w:sz w:val="20"/>
                <w:szCs w:val="20"/>
              </w:rPr>
              <w:t xml:space="preserve">The fourth quarter should be used as an opportunity to explore multiple genres and blend strategies taught across the first three quarters.  </w:t>
            </w:r>
          </w:p>
        </w:tc>
        <w:tc>
          <w:tcPr>
            <w:tcW w:w="2161" w:type="pct"/>
          </w:tcPr>
          <w:p w:rsidR="0079077E" w:rsidRPr="00450FA5" w:rsidRDefault="00F10F3A" w:rsidP="00E80A3C">
            <w:pPr>
              <w:rPr>
                <w:b/>
                <w:sz w:val="20"/>
                <w:szCs w:val="20"/>
              </w:rPr>
            </w:pPr>
            <w:r>
              <w:rPr>
                <w:b/>
                <w:sz w:val="20"/>
                <w:szCs w:val="20"/>
              </w:rPr>
              <w:t>Opinion</w:t>
            </w:r>
            <w:r w:rsidR="00C22730">
              <w:rPr>
                <w:b/>
                <w:sz w:val="20"/>
                <w:szCs w:val="20"/>
              </w:rPr>
              <w:t xml:space="preserve"> Writing</w:t>
            </w:r>
          </w:p>
        </w:tc>
      </w:tr>
    </w:tbl>
    <w:p w:rsidR="00450FA5" w:rsidRPr="00450FA5" w:rsidRDefault="00450FA5" w:rsidP="00450FA5">
      <w:pPr>
        <w:spacing w:after="0" w:line="240" w:lineRule="auto"/>
        <w:rPr>
          <w:sz w:val="20"/>
          <w:szCs w:val="20"/>
        </w:rPr>
      </w:pPr>
      <w:r w:rsidRPr="00450FA5">
        <w:rPr>
          <w:sz w:val="20"/>
          <w:szCs w:val="20"/>
        </w:rPr>
        <w:t>Comprehension Toolkit Lessons can be divided into two or three mini-lessons and taught during Shared Reading.</w:t>
      </w:r>
    </w:p>
    <w:p w:rsidR="00F872B4" w:rsidRDefault="00450FA5" w:rsidP="00F872B4">
      <w:pPr>
        <w:spacing w:after="0" w:line="240" w:lineRule="auto"/>
        <w:rPr>
          <w:sz w:val="20"/>
          <w:szCs w:val="20"/>
        </w:rPr>
      </w:pPr>
      <w:r w:rsidRPr="00450FA5">
        <w:rPr>
          <w:sz w:val="20"/>
          <w:szCs w:val="20"/>
        </w:rPr>
        <w:t>Comprehension Strategies should be taught and practiced across multiple genres (for example, teach asking questions with both fiction and nonfiction texts).</w:t>
      </w:r>
    </w:p>
    <w:p w:rsidR="00A84F77" w:rsidRDefault="00A84F77" w:rsidP="00F872B4">
      <w:pPr>
        <w:spacing w:after="0" w:line="240" w:lineRule="auto"/>
        <w:rPr>
          <w:sz w:val="20"/>
          <w:szCs w:val="20"/>
        </w:rPr>
      </w:pPr>
      <w:r>
        <w:rPr>
          <w:sz w:val="20"/>
          <w:szCs w:val="20"/>
        </w:rPr>
        <w:t>When teaching strategies, make sure that there is a progression from Literal to Interpretive and Evaluative scaffolds.  Avoid th</w:t>
      </w:r>
      <w:r w:rsidR="00F872B4">
        <w:rPr>
          <w:sz w:val="20"/>
          <w:szCs w:val="20"/>
        </w:rPr>
        <w:t xml:space="preserve">e temptation to remain on Literal scaffolds. </w:t>
      </w:r>
      <w:r w:rsidR="00F872B4" w:rsidRPr="00F872B4">
        <w:rPr>
          <w:sz w:val="20"/>
          <w:szCs w:val="20"/>
        </w:rPr>
        <w:sym w:font="Wingdings" w:char="F04A"/>
      </w:r>
    </w:p>
    <w:p w:rsidR="00F10F3A" w:rsidRPr="00450FA5" w:rsidRDefault="00F10F3A" w:rsidP="00F872B4">
      <w:pPr>
        <w:spacing w:after="0" w:line="240" w:lineRule="auto"/>
        <w:rPr>
          <w:sz w:val="20"/>
          <w:szCs w:val="20"/>
        </w:rPr>
      </w:pPr>
      <w:r>
        <w:rPr>
          <w:sz w:val="20"/>
          <w:szCs w:val="20"/>
        </w:rPr>
        <w:t>Poetry needs to be taught throughout the year and incorporated throughout all units.</w:t>
      </w:r>
    </w:p>
    <w:sectPr w:rsidR="00F10F3A" w:rsidRPr="00450FA5" w:rsidSect="00597318">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7150E91"/>
    <w:multiLevelType w:val="hybridMultilevel"/>
    <w:tmpl w:val="1F72B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B1009"/>
    <w:rsid w:val="00064192"/>
    <w:rsid w:val="001A48A8"/>
    <w:rsid w:val="00205FD2"/>
    <w:rsid w:val="00252BD7"/>
    <w:rsid w:val="002F1F63"/>
    <w:rsid w:val="00397F45"/>
    <w:rsid w:val="00450FA5"/>
    <w:rsid w:val="00505BFE"/>
    <w:rsid w:val="00597318"/>
    <w:rsid w:val="00623E41"/>
    <w:rsid w:val="0072725C"/>
    <w:rsid w:val="0079077E"/>
    <w:rsid w:val="007E7437"/>
    <w:rsid w:val="00803FE8"/>
    <w:rsid w:val="00A03E00"/>
    <w:rsid w:val="00A84F77"/>
    <w:rsid w:val="00A90966"/>
    <w:rsid w:val="00C22730"/>
    <w:rsid w:val="00D14384"/>
    <w:rsid w:val="00E00837"/>
    <w:rsid w:val="00E347DF"/>
    <w:rsid w:val="00F10F3A"/>
    <w:rsid w:val="00F3016B"/>
    <w:rsid w:val="00F31694"/>
    <w:rsid w:val="00F872B4"/>
    <w:rsid w:val="00FB100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1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3016B"/>
    <w:rPr>
      <w:color w:val="0000FF" w:themeColor="hyperlink"/>
      <w:u w:val="single"/>
    </w:rPr>
  </w:style>
  <w:style w:type="paragraph" w:styleId="ListParagraph">
    <w:name w:val="List Paragraph"/>
    <w:basedOn w:val="Normal"/>
    <w:uiPriority w:val="34"/>
    <w:qFormat/>
    <w:rsid w:val="00205FD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FB100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F3016B"/>
    <w:rPr>
      <w:color w:val="0000FF" w:themeColor="hyperlink"/>
      <w:u w:val="single"/>
    </w:rPr>
  </w:style>
  <w:style w:type="paragraph" w:styleId="ListParagraph">
    <w:name w:val="List Paragraph"/>
    <w:basedOn w:val="Normal"/>
    <w:uiPriority w:val="34"/>
    <w:qFormat/>
    <w:rsid w:val="00205FD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8967540">
      <w:bodyDiv w:val="1"/>
      <w:marLeft w:val="0"/>
      <w:marRight w:val="0"/>
      <w:marTop w:val="0"/>
      <w:marBottom w:val="0"/>
      <w:divBdr>
        <w:top w:val="none" w:sz="0" w:space="0" w:color="auto"/>
        <w:left w:val="none" w:sz="0" w:space="0" w:color="auto"/>
        <w:bottom w:val="none" w:sz="0" w:space="0" w:color="auto"/>
        <w:right w:val="none" w:sz="0" w:space="0" w:color="auto"/>
      </w:divBdr>
      <w:divsChild>
        <w:div w:id="136072165">
          <w:marLeft w:val="0"/>
          <w:marRight w:val="0"/>
          <w:marTop w:val="0"/>
          <w:marBottom w:val="0"/>
          <w:divBdr>
            <w:top w:val="none" w:sz="0" w:space="0" w:color="auto"/>
            <w:left w:val="none" w:sz="0" w:space="0" w:color="auto"/>
            <w:bottom w:val="none" w:sz="0" w:space="0" w:color="auto"/>
            <w:right w:val="none" w:sz="0" w:space="0" w:color="auto"/>
          </w:divBdr>
          <w:divsChild>
            <w:div w:id="1578249583">
              <w:marLeft w:val="0"/>
              <w:marRight w:val="0"/>
              <w:marTop w:val="0"/>
              <w:marBottom w:val="0"/>
              <w:divBdr>
                <w:top w:val="none" w:sz="0" w:space="0" w:color="auto"/>
                <w:left w:val="none" w:sz="0" w:space="0" w:color="auto"/>
                <w:bottom w:val="none" w:sz="0" w:space="0" w:color="auto"/>
                <w:right w:val="none" w:sz="0" w:space="0" w:color="auto"/>
              </w:divBdr>
              <w:divsChild>
                <w:div w:id="1012145140">
                  <w:marLeft w:val="0"/>
                  <w:marRight w:val="0"/>
                  <w:marTop w:val="0"/>
                  <w:marBottom w:val="0"/>
                  <w:divBdr>
                    <w:top w:val="none" w:sz="0" w:space="0" w:color="auto"/>
                    <w:left w:val="none" w:sz="0" w:space="0" w:color="auto"/>
                    <w:bottom w:val="none" w:sz="0" w:space="0" w:color="auto"/>
                    <w:right w:val="none" w:sz="0" w:space="0" w:color="auto"/>
                  </w:divBdr>
                  <w:divsChild>
                    <w:div w:id="1687585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hallco.org/literacy/index.php?option=com_content&amp;view=article&amp;id=7&amp;Itemid=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logs.muskegonisd.org/writers3to6/files/2009/03/3-6-09-report-research-unit-of-study.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517</Words>
  <Characters>2949</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Melanie Burgess</dc:creator>
  <cp:lastModifiedBy>Cagle, Judi</cp:lastModifiedBy>
  <cp:revision>4</cp:revision>
  <cp:lastPrinted>2012-06-20T12:35:00Z</cp:lastPrinted>
  <dcterms:created xsi:type="dcterms:W3CDTF">2012-06-20T13:58:00Z</dcterms:created>
  <dcterms:modified xsi:type="dcterms:W3CDTF">2012-06-21T17:27:00Z</dcterms:modified>
</cp:coreProperties>
</file>